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36"/>
          <w:szCs w:val="36"/>
          <w:highlight w:val="none"/>
        </w:rPr>
      </w:pP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学年第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学期学生基础管理工作检查督导</w:t>
      </w:r>
    </w:p>
    <w:p>
      <w:pPr>
        <w:jc w:val="center"/>
        <w:rPr>
          <w:rFonts w:eastAsia="Cambria Math"/>
          <w:b/>
          <w:bCs/>
          <w:color w:val="FF0000"/>
          <w:sz w:val="72"/>
          <w:highlight w:val="none"/>
        </w:rPr>
      </w:pPr>
      <w:r>
        <w:rPr>
          <w:rFonts w:hint="eastAsia" w:eastAsia="Cambria Math"/>
          <w:b/>
          <w:bCs/>
          <w:color w:val="FF0000"/>
          <w:sz w:val="72"/>
          <w:highlight w:val="none"/>
        </w:rPr>
        <w:t>通</w:t>
      </w:r>
      <w:r>
        <w:rPr>
          <w:rFonts w:eastAsia="Cambria Math"/>
          <w:b/>
          <w:bCs/>
          <w:color w:val="FF0000"/>
          <w:sz w:val="72"/>
          <w:highlight w:val="none"/>
        </w:rPr>
        <w:t xml:space="preserve">    </w:t>
      </w:r>
      <w:r>
        <w:rPr>
          <w:rFonts w:hint="eastAsia" w:eastAsia="Cambria Math"/>
          <w:b/>
          <w:bCs/>
          <w:color w:val="FF0000"/>
          <w:sz w:val="72"/>
          <w:highlight w:val="none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Cambria Math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-202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-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eastAsia="Cambria Math"/>
          <w:bCs/>
          <w:color w:val="FF0000"/>
          <w:sz w:val="28"/>
          <w:szCs w:val="28"/>
        </w:rPr>
        <w:t>号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晚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，学生公寓管理中心进行安全检查中发现以下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违规违纪的</w:t>
      </w:r>
      <w:r>
        <w:rPr>
          <w:rFonts w:hint="eastAsia" w:ascii="仿宋_GB2312" w:hAnsi="仿宋_GB2312" w:eastAsia="仿宋_GB2312" w:cs="仿宋_GB2312"/>
          <w:sz w:val="28"/>
          <w:szCs w:val="28"/>
        </w:rPr>
        <w:t>现象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现给予全校通报。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1.徐天慧，女，系艺术学院2022级视觉传达设计专业本科1班学生；（饮酒）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2.潘晓艺，女，系艺术学院2021级美术学专业本科1班学生；（饮酒）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3.王一峥，男，系艺术学院2022级数字媒体艺术专业本科1班学生；（吸烟）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4.王涵，男，系艺术学院2021级美术学专业本科1班学生；（吸烟）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5.姚明初，男，系艺术学院2020级美术学专业本科1班学生；（吸烟）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6.牛祥旭，男，系艺术学院2020级数字媒体艺术专业本科1班学生；（吸烟）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7.张阳，男，系艺术学院2021级视觉传达设计专业本科1班学生；（吸烟）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8.吴传辉，男，系艺术学院2020级舞蹈学专业本科1班学生；（吸烟）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9.王子晗，男，系经济管理学院2023级财务管理专业本科1班学生；（吸烟）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10.徐骁，男，系经济管理学院2020级税收学专业本科1班学生；（吸烟）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11.王德亮，男，系经济管理学院2020级市场营销专业本科1班学生；（吸烟）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12.盛立鹏，男，系经济管理学院2022级工商企业管理专业专科1班学生；（吸烟）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13.秦英豪，男，系经济管理学院2022级市场营销专业本科1班学生；（吸烟）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/>
        <w:jc w:val="right"/>
        <w:textAlignment w:val="auto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学生工作处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                         2024年4月18日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DY2ZDJhM2ZlNTk5MDJhZDVjMDhjMTY1MTFjMDUifQ=="/>
  </w:docVars>
  <w:rsids>
    <w:rsidRoot w:val="31F074B1"/>
    <w:rsid w:val="161F2C34"/>
    <w:rsid w:val="1FC82680"/>
    <w:rsid w:val="24683F62"/>
    <w:rsid w:val="31F074B1"/>
    <w:rsid w:val="3EEE2341"/>
    <w:rsid w:val="626905EB"/>
    <w:rsid w:val="775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584</Characters>
  <Lines>0</Lines>
  <Paragraphs>0</Paragraphs>
  <TotalTime>37</TotalTime>
  <ScaleCrop>false</ScaleCrop>
  <LinksUpToDate>false</LinksUpToDate>
  <CharactersWithSpaces>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2024-04-29T04:52:00Z</dcterms:created>
  <dc:creator>远隔山川与岛屿</dc:creator>
  <cp:lastModifiedBy>PUPPET</cp:lastModifiedBy>
  <dcterms:modified xsi:type="dcterms:W3CDTF">2024-07-01T04:54:21Z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5B496DCDF97E493DA2D73AF3141CE61D_13</vt:lpwstr>
  </property>
</Properties>
</file>